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3 vom 6. Februar 2025</w:t>
      </w:r>
    </w:p>
    <w:p>
      <w:r>
        <w:t>GR Gerichte, 2025-02-06, DE</w:t>
      </w:r>
    </w:p>
    <w:p>
      <w:r>
        <w:rPr>
          <w:b/>
        </w:rPr>
        <w:t xml:space="preserve">Quelle: </w:t>
      </w:r>
      <w:r>
        <w:t>https://mcp.opencaselaw.ch/entscheid/gr_gerichte_SBK 2025 3</w:t>
      </w:r>
    </w:p>
    <w:p>
      <w:r>
        <w:t>FR: GR_GERICHTE SBK 2025 3 du 6 février 2025</w:t>
      </w:r>
    </w:p>
    <w:p>
      <w:r>
        <w:t>IT: GR_GERICHTE SBK 2025 3 del 6 febbraio 2025</w:t>
      </w:r>
    </w:p>
    <w:p>
      <w:pPr>
        <w:pStyle w:val="Heading2"/>
      </w:pPr>
      <w:r>
        <w:t>Regeste</w:t>
      </w:r>
    </w:p>
    <w:p>
      <w:r>
        <w:t>Durchführung der Pfändung / Rechtsverzögerung | Aufsicht Rechtsverzögerung/Rechtsverweigerung (SchKG 17 Abs. 3)</w:t>
      </w:r>
    </w:p>
    <w:p>
      <w:pPr>
        <w:pStyle w:val="Heading2"/>
      </w:pPr>
      <w:r>
        <w:t>Erwägungen</w:t>
      </w:r>
    </w:p>
    <w:p>
      <w:r>
        <w:rPr>
          <w:b/>
        </w:rPr>
        <w:t>E. 1</w:t>
      </w:r>
    </w:p>
    <w:p>
      <w:r>
        <w:t>Zum besseren Verständnis ist auf den der vorliegenden Streitsache zugrundeliegender Sachverhalt kurz einzugehen. Der im vom Beschwerdeführer eingeleiteten Betreibungsverfahren Nr. C._____ ausgestellte Zahlungsbefehl (betreffend eine Forderung von CHF 31'000.00 aus Darlehen) wurde der Beschwerdegegnerin am 10. Juni 2021 zugestellt. Dagegen wurde Rechtsvorschlag erhoben. Der Beschwerdeführer erhob in der Folge Anerkennungsklage. Die Klage wurde mit Entscheid des Regionalgericht Landquart vom 28. Juni 2023 gutgeheissen. Darin wurde die Beschwerdegegnerin zur Leistung von CHF 31'000.00 zzgl. Zins von 5 % seit 30. April 2021 an den Beschwerdeführer verpflichtet und der Rechtsvorschlag in der Betreibung Nr. C._____ aufgehoben. Ferner wurde die Beschwerdegegnerin verpflichtet, dem Beschwerdeführer eine Parteientschädigung von CHF 7'500.00 zu bezahlen und den geleisteten Vorschuss in Höhe von CHF 6'500.00 zu ersetzen. Auf die von der Beschwerdegegnerin erhobene Berufung trat das (damalige) Kantonsgericht von Graubünden mit Entscheid vom 8. Oktober 2024 nicht ein und sprach dem Beschwerdeführer weitere CHF 3'340.30 Parteientschädigung zu. Mit Eingabe vom 13. November 2024 an das Betreibungsamt beantragte der Beschwerdeführer die Fortsetzung der Betreibung Nr. C._____. Unter Forderung führte er nebst der Darlehensforderung von CHF 31'000.00 zusätzlich CHF 103.00</w:t>
      </w:r>
    </w:p>
    <w:p>
      <w:r>
        <w:rPr>
          <w:b/>
        </w:rPr>
        <w:t>E. 3</w:t>
      </w:r>
    </w:p>
    <w:p>
      <w:r>
        <w:t>/ 6 (Betreibungskosten des Betreibungsamtes), CHF 6'500.00 ("Rechtsöffnungskosten Gerichtskosten 1. Instanz"), CHF 7500.00 ("Rechtsöffnungskosten Parteientschädigung 1. Instanz"), CHF 3'340.00 ("Rechtsöffnungskosten Parteientschädigung 2. Instanz") sowie CHF 300.00 ("Vermittleramt Landquart Kostenvorschuss") auf. Mit Verfügung vom 14. November 2024 wies das Betreibungsamt die geltend gemachten Kosten von CHF 17'640.00 für das zivilrechtliche Verfahren (CHF 6'500.00 / CHF 7'500.00 / CHF 3'340.00 / CHF 300.00) ab bzw. zeigte an, diese nicht an die Betreibung Nr. C._____ anzurechnen. Hierfür habe der Beschwerdeführer eine neue Betreibung einzuleiten. Die Verfügung erwuchs unangefochten in Rechtskraft. Mit weiterem Betreibungsbegehren vom 19. November 2024 setzte der Beschwerdeführer diese Positionen gegen die Beschwerdegegnerin in Betreibung. Die Betreibung wird unter der Nummer D._____ geführt. 2. Gegen jede Verfügung eines Betreibungs- oder eines Konkursamtes kann nach Art. 17 Abs. 1 SchKG bei der Aufsichtsbehörde wegen Gesetzesverletzung oder Unangemessenheit Beschwerde geführt werden, sofern keine gerichtliche Klagemöglichkeit besteht. Die Beschwerde muss binnen zehn Tagen seit dem Tage, an welchem der Beschwerdeführer von der Verfügung Kenntnis erhalten hat, angebracht werden (vgl. Abs. 2), es sei denn, es werde Rechtsverweigerung oder Rechtsverzögerung geltend gemacht. Dagegen kann jederzeit Beschwerde geführt werden (Abs. 3). Im vorliegenden Fall rügt der Beschwerdeführer Rechtsverzögerung(en). Sein Beschwerdeantrag sowie dessen Begründung sind jedoch widersprüchlich und werfen Fragen auf. Er beantragt, die "Pfändung" "aufgrund des Fortsetzungsbegehrens der Betreibung Nr. C._____" umgehend durchzuführen, dies für den Betrag von CHF 48'743.00 (act. A.1). Dieser Betrag wurde zwar für die erwähnte Betreibung mit Fortsetzungsbegehren vom 13. November 2024 geltend gemacht. Das Betreibungsamt wies den Betrag mit Verfügung vom 14. November 2024 im Umfang von CHF 17'640.00 zurück (vgl. oben E. 1). Die Verfügung erwuchs unangefochten in Rechtskraft. Der Beschwerdeführer leitete in der Folge eine weitere Betreibung gegen die Schuldnerin ein, in welcher er den zurückgewiesenen Forderungsbetrag geltend macht (Betreibung Nr. D._____). Es erscheint fraglich, ob sich die Rechtsverzögerungsbeschwerde auch auf diese Betreibung bezieht. Immerhin finden sich in der Beschwerdebegründung auch Äusserungen zu dieser ("[…]. Bis zum heutigen Tag habe ich keinerlei Information, wie der Stand der Zustellung des zusätzlichen Zahlungsbefehls ist. […] Nachdem ich am 5. und 6. Dezember 2024 […] die Auskunft erhalten habe, dass offenbar bis zu diesem Datum</w:t>
      </w:r>
    </w:p>
    <w:p>
      <w:r>
        <w:rPr>
          <w:b/>
        </w:rPr>
        <w:t>E. 4</w:t>
      </w:r>
    </w:p>
    <w:p>
      <w:r>
        <w:t>Mit Nachtrag vom 4. Februar 2025 informierte das Betreibungsamt unter Beilage aktualisierter Geschäftsprotokolle (act. E. 4 und 5), dass die beiden Betreibungen Nr. C._____ und Nr. D._____ zwischenzeitlich vollumfänglich bezahlt und erledigt worden seien. Die Zahlungen seien dem Beschwerdeführer mittels</w:t>
      </w:r>
    </w:p>
    <w:p>
      <w:r>
        <w:rPr>
          <w:b/>
        </w:rPr>
        <w:t>E. 5</w:t>
      </w:r>
    </w:p>
    <w:p>
      <w:r>
        <w:t>Das Beschwerdeverfahren vor der kantonalen Aufsichtsbehörde ist kostenlos; Parteientschädigungen dürfen in diesem Verfahren nicht zugesprochen werden (Art. 20a Abs. 2 Ziff. 5 SchKG und Art. 61 f. GebV SchKG [SR 281.35]).</w:t>
      </w:r>
    </w:p>
    <w:p>
      <w:r>
        <w:rPr>
          <w:b/>
        </w:rPr>
        <w:t>E. 6</w:t>
      </w:r>
    </w:p>
    <w:p>
      <w:r>
        <w:t>/ 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